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pPr>
      <w:r w:rsidDel="00000000" w:rsidR="00000000" w:rsidRPr="00000000">
        <w:rPr>
          <w:rtl w:val="0"/>
        </w:rPr>
        <w:t xml:space="preserve">Brianna Perez</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firstLine="0"/>
        <w:rPr/>
      </w:pPr>
      <w:r w:rsidDel="00000000" w:rsidR="00000000" w:rsidRPr="00000000">
        <w:rPr>
          <w:rtl w:val="0"/>
        </w:rPr>
        <w:t xml:space="preserve">Prof. Henken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ENC1101</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09</w:t>
      </w:r>
      <w:r w:rsidDel="00000000" w:rsidR="00000000" w:rsidRPr="00000000">
        <w:rPr>
          <w:sz w:val="24"/>
          <w:szCs w:val="24"/>
          <w:rtl w:val="0"/>
        </w:rPr>
        <w:t xml:space="preserve"> </w:t>
      </w:r>
      <w:r w:rsidDel="00000000" w:rsidR="00000000" w:rsidRPr="00000000">
        <w:rPr>
          <w:rtl w:val="0"/>
        </w:rPr>
        <w:t xml:space="preserve">September</w:t>
      </w:r>
      <w:r w:rsidDel="00000000" w:rsidR="00000000" w:rsidRPr="00000000">
        <w:rPr>
          <w:sz w:val="24"/>
          <w:szCs w:val="24"/>
          <w:rtl w:val="0"/>
        </w:rPr>
        <w:t xml:space="preserve"> 20</w:t>
      </w:r>
      <w:r w:rsidDel="00000000" w:rsidR="00000000" w:rsidRPr="00000000">
        <w:rPr>
          <w:rtl w:val="0"/>
        </w:rPr>
        <w:t xml:space="preserve">25</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Critical Thinking Response: Language, Identity, and Power</w:t>
      </w:r>
      <w:r w:rsidDel="00000000" w:rsidR="00000000" w:rsidRPr="00000000">
        <w:rPr>
          <w:rtl w:val="0"/>
        </w:rPr>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In “Hardware” by Ronald Wallace, language is used to identify the poem’s subject as lost and seemingly powerless. The writer describes how his father knew the specific terminology for every tool, and whilst doing so, utilizes names for different tools that the average reader would not likely know. Reading the names of specific tools without knowing their use or what they may look like gave me a sense of powerlessness as I read through the first stanza and helped foster a sense of appreciation for the writer’s father, who possessed the ability to name and use these items. Therefore, by using such specific language, the writer envelops the reader in his feeling of powerlessness within this world of ratchet wrenches and band saws and paints a picture of his father as a knowledgeable individual with the power in said environment. The writer then goes on to explain how his lack of knowledge in this area impacted those around him and, using harsh adjectives such as “gruffness” and “disgust,” drove home the explanation as to how the writer’s lack of knowledge in this one area was able to have such a large impact on his identity and sense of power. In the second stanza the author continues his narrative of being lost and powerless through a similar, statistical use of language. He describes himself around his father’s tools with adjectives that possess negative connotations, such as “incompetent” and “tongue-tied,” further contributing to the idea that the writer is powerless in the field his father was once very competent in. However, in contrast to the first stanzas’ specific language, the author uses general terminology to showcase his unfamiliarity with his father’s tools, using terms that mimic the length and complexity of the tools’ names while still not holding an exact value. Overall, the writer of “Hardware” uses language to first identify his father as a powerful figure in their environment and then identify himself as clueless, lost, and powerless in comparison.</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